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1555" w14:textId="3122B191" w:rsidR="00BC3467" w:rsidRPr="00BC3467" w:rsidRDefault="00BC3467" w:rsidP="00BC3467">
      <w:pPr>
        <w:spacing w:after="0" w:line="360" w:lineRule="auto"/>
        <w:jc w:val="both"/>
        <w:rPr>
          <w:rFonts w:ascii="Arial" w:eastAsia="Calibri" w:hAnsi="Arial" w:cs="Arial"/>
          <w:color w:val="000000" w:themeColor="text1"/>
          <w:sz w:val="40"/>
          <w:szCs w:val="40"/>
        </w:rPr>
      </w:pPr>
      <w:r>
        <w:rPr>
          <w:rFonts w:ascii="Arial" w:hAnsi="Arial"/>
          <w:color w:val="000000" w:themeColor="text1"/>
          <w:sz w:val="40"/>
        </w:rPr>
        <w:t>Une pour tous : la trémie polyvalente TEGOSEM de PÖTTINGER</w:t>
      </w:r>
    </w:p>
    <w:p w14:paraId="7EB44700" w14:textId="5432EDB2"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Le TEGOSEM est la trémie polyvalente de PÖTTINGER. Il est disponible en option sur un large choix de matériels. Le TEGOSEM permet de combiner le travail du sol et la distribution d'un engrais ou le semis d'un couvert végétal en un seul passage. Cela permet d'économiser du temps et de l'argent. Le semoir peut être combiné avec des machines portées ou trainées.</w:t>
      </w:r>
    </w:p>
    <w:p w14:paraId="4FB3D895" w14:textId="77777777" w:rsidR="007F2D7E" w:rsidRDefault="007F2D7E" w:rsidP="00BC3467">
      <w:pPr>
        <w:spacing w:after="0" w:line="360" w:lineRule="auto"/>
        <w:jc w:val="both"/>
        <w:rPr>
          <w:rFonts w:ascii="Arial" w:eastAsia="Calibri" w:hAnsi="Arial" w:cs="Arial"/>
          <w:b/>
          <w:bCs/>
          <w:color w:val="000000" w:themeColor="text1"/>
          <w:sz w:val="24"/>
          <w:szCs w:val="24"/>
        </w:rPr>
      </w:pPr>
    </w:p>
    <w:p w14:paraId="6514C522" w14:textId="6C5D3B2B" w:rsidR="00BC3467" w:rsidRPr="007F2D7E" w:rsidRDefault="00BC3467" w:rsidP="00BC3467">
      <w:pPr>
        <w:spacing w:after="0" w:line="360" w:lineRule="auto"/>
        <w:jc w:val="both"/>
        <w:rPr>
          <w:rFonts w:ascii="Arial" w:hAnsi="Arial" w:cs="Arial"/>
          <w:b/>
          <w:bCs/>
          <w:sz w:val="24"/>
          <w:szCs w:val="24"/>
        </w:rPr>
      </w:pPr>
      <w:r>
        <w:rPr>
          <w:rFonts w:ascii="Arial" w:hAnsi="Arial"/>
          <w:b/>
          <w:color w:val="000000" w:themeColor="text1"/>
          <w:sz w:val="24"/>
        </w:rPr>
        <w:t>Différents produits semés</w:t>
      </w:r>
    </w:p>
    <w:p w14:paraId="68DB8630" w14:textId="77777777"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Grâce aux nombreux arbres de distribution, il est possible de semer non seulement des cultures intermédiaires à petites et à grandes graines, mais aussi des semences de graminées ou des produits similaires. Combiné aux différents matériels, le TEGOSEM permet de couvrir un large éventail d'applications.</w:t>
      </w:r>
    </w:p>
    <w:p w14:paraId="313A3971" w14:textId="77777777" w:rsidR="007F2D7E" w:rsidRDefault="007F2D7E" w:rsidP="00BC3467">
      <w:pPr>
        <w:spacing w:after="0" w:line="360" w:lineRule="auto"/>
        <w:jc w:val="both"/>
        <w:rPr>
          <w:rFonts w:ascii="Arial" w:eastAsia="Calibri" w:hAnsi="Arial" w:cs="Arial"/>
          <w:b/>
          <w:bCs/>
          <w:color w:val="000000" w:themeColor="text1"/>
          <w:sz w:val="24"/>
          <w:szCs w:val="24"/>
        </w:rPr>
      </w:pPr>
    </w:p>
    <w:p w14:paraId="48B7BB4D" w14:textId="41889EA0" w:rsidR="00BC3467" w:rsidRPr="007F2D7E" w:rsidRDefault="00BC3467" w:rsidP="00BC3467">
      <w:pPr>
        <w:spacing w:after="0" w:line="360" w:lineRule="auto"/>
        <w:jc w:val="both"/>
        <w:rPr>
          <w:rFonts w:ascii="Arial" w:eastAsia="Calibri" w:hAnsi="Arial" w:cs="Arial"/>
          <w:b/>
          <w:bCs/>
          <w:color w:val="000000" w:themeColor="text1"/>
          <w:sz w:val="24"/>
          <w:szCs w:val="24"/>
        </w:rPr>
      </w:pPr>
      <w:r>
        <w:rPr>
          <w:rFonts w:ascii="Arial" w:hAnsi="Arial"/>
          <w:b/>
          <w:color w:val="000000" w:themeColor="text1"/>
          <w:sz w:val="24"/>
        </w:rPr>
        <w:t>En un seul passage</w:t>
      </w:r>
    </w:p>
    <w:p w14:paraId="4B9946F9" w14:textId="45BFF6F7" w:rsidR="00BC3467" w:rsidRDefault="00BC3467" w:rsidP="00BC3467">
      <w:pPr>
        <w:spacing w:after="0" w:line="360" w:lineRule="auto"/>
        <w:jc w:val="both"/>
        <w:rPr>
          <w:rFonts w:ascii="Arial" w:hAnsi="Arial"/>
          <w:color w:val="000000" w:themeColor="text1"/>
          <w:sz w:val="24"/>
        </w:rPr>
      </w:pPr>
      <w:r>
        <w:rPr>
          <w:rFonts w:ascii="Arial" w:hAnsi="Arial"/>
          <w:color w:val="000000" w:themeColor="text1"/>
          <w:sz w:val="24"/>
        </w:rPr>
        <w:t>En combinaison avec un semoir PÖTTINGER, le TEGOSEM permet d'ajouter un produit supplémentaire en surface. Ainsi, le sous-semis ou le semis de couverts végétaux peut être effectué en une seule fois, tout en préservant le sol. Les semences fines sont de très bons éléments de mélange dans les associations de cultures intermédiaires, mais nécessitent un semis superficiel pour une germination optimale. Le TEGOSEM permet de déposer en surface tout en déposant plus profondément la majeure partie du mélange. Ainsi, plusieurs types de graines peuvent être intégrés de manière optimale dans le mélange de cultures. Cela a également un effet positif sur la fertilité du sol, car il est prouvé que les mélanges riches en espèces favorisent la vie du sol et augmentent la biodiversité des micro-organismes.</w:t>
      </w:r>
    </w:p>
    <w:p w14:paraId="6B0EA294" w14:textId="77777777" w:rsidR="00D15574" w:rsidRPr="00BC3467" w:rsidRDefault="00D15574" w:rsidP="00BC3467">
      <w:pPr>
        <w:spacing w:after="0" w:line="360" w:lineRule="auto"/>
        <w:jc w:val="both"/>
        <w:rPr>
          <w:rFonts w:ascii="Arial" w:eastAsia="Calibri" w:hAnsi="Arial" w:cs="Arial"/>
          <w:color w:val="000000" w:themeColor="text1"/>
          <w:sz w:val="24"/>
          <w:szCs w:val="24"/>
        </w:rPr>
      </w:pPr>
    </w:p>
    <w:p w14:paraId="52449BAB" w14:textId="2B7FECEC" w:rsidR="00BC3467" w:rsidRDefault="00BC3467" w:rsidP="00BC3467">
      <w:pPr>
        <w:spacing w:after="0" w:line="360" w:lineRule="auto"/>
        <w:jc w:val="both"/>
        <w:rPr>
          <w:rFonts w:ascii="Arial" w:hAnsi="Arial"/>
          <w:color w:val="000000" w:themeColor="text1"/>
          <w:sz w:val="24"/>
        </w:rPr>
      </w:pPr>
      <w:r>
        <w:rPr>
          <w:rFonts w:ascii="Arial" w:hAnsi="Arial"/>
          <w:color w:val="000000" w:themeColor="text1"/>
          <w:sz w:val="24"/>
        </w:rPr>
        <w:t>Le TERRASEM avec TEGOSEM permet d'épandre trois produits simultanément. Il est ainsi possible de semer des sous-semis en plus de la culture principale. En même temps, un engrais starter est déposé via les socs fertiliseurs FERTILIZER PRO.</w:t>
      </w:r>
    </w:p>
    <w:p w14:paraId="4BFF53CE" w14:textId="77777777" w:rsidR="00D15574" w:rsidRPr="00BC3467" w:rsidRDefault="00D15574" w:rsidP="00BC3467">
      <w:pPr>
        <w:spacing w:after="0" w:line="360" w:lineRule="auto"/>
        <w:jc w:val="both"/>
        <w:rPr>
          <w:rFonts w:ascii="Arial" w:eastAsia="Calibri" w:hAnsi="Arial" w:cs="Arial"/>
          <w:color w:val="000000" w:themeColor="text1"/>
          <w:sz w:val="24"/>
          <w:szCs w:val="24"/>
        </w:rPr>
      </w:pPr>
    </w:p>
    <w:p w14:paraId="005ACB1E" w14:textId="77777777" w:rsidR="00D15574" w:rsidRDefault="00BC3467" w:rsidP="00BC3467">
      <w:pPr>
        <w:spacing w:after="0" w:line="360" w:lineRule="auto"/>
        <w:jc w:val="both"/>
        <w:rPr>
          <w:rFonts w:ascii="Arial" w:hAnsi="Arial"/>
          <w:color w:val="000000" w:themeColor="text1"/>
          <w:sz w:val="24"/>
        </w:rPr>
      </w:pPr>
      <w:r>
        <w:rPr>
          <w:rFonts w:ascii="Arial" w:hAnsi="Arial"/>
          <w:color w:val="000000" w:themeColor="text1"/>
          <w:sz w:val="24"/>
        </w:rPr>
        <w:lastRenderedPageBreak/>
        <w:t>Nos déchaumeurs à dents TERRIA et SYNKRO, déchaumeurs à disques TERRADISC, herses rotatives LION et outils de préparation du lit de semences FOX sont également disponibles avec le TEGOSEM. Un grand avantage ici est la combinaison du travail du sol et de l'épandage de cultures intermédiaires en un seul passage.</w:t>
      </w:r>
    </w:p>
    <w:p w14:paraId="2D14C777" w14:textId="0FD8845E" w:rsidR="00BC3467" w:rsidRDefault="00BC3467" w:rsidP="00BC3467">
      <w:pPr>
        <w:spacing w:after="0" w:line="360" w:lineRule="auto"/>
        <w:jc w:val="both"/>
        <w:rPr>
          <w:rFonts w:ascii="Arial" w:hAnsi="Arial"/>
          <w:color w:val="000000" w:themeColor="text1"/>
          <w:sz w:val="24"/>
        </w:rPr>
      </w:pPr>
      <w:r>
        <w:rPr>
          <w:rFonts w:ascii="Arial" w:hAnsi="Arial"/>
          <w:color w:val="000000" w:themeColor="text1"/>
          <w:sz w:val="24"/>
        </w:rPr>
        <w:t>Bien souvent, les fenêtres de travail sont très courtes et chaque seconde compte. La suppression d'une deuxième étape de travail permet de gagner un temps précieux. Dans le cadre de la réglementation de la PAC notamment</w:t>
      </w:r>
      <w:r>
        <w:rPr>
          <w:rFonts w:ascii="Arial" w:hAnsi="Arial"/>
          <w:sz w:val="24"/>
        </w:rPr>
        <w:t>, cela permet d'assurer avec plus de facilité que les parcelles</w:t>
      </w:r>
      <w:r>
        <w:rPr>
          <w:rFonts w:ascii="Arial" w:hAnsi="Arial"/>
          <w:color w:val="000000" w:themeColor="text1"/>
          <w:sz w:val="24"/>
        </w:rPr>
        <w:t xml:space="preserve"> soient implantées avant l'hiver</w:t>
      </w:r>
      <w:r>
        <w:rPr>
          <w:rFonts w:ascii="Arial" w:hAnsi="Arial"/>
          <w:sz w:val="24"/>
        </w:rPr>
        <w:t>.</w:t>
      </w:r>
      <w:r>
        <w:rPr>
          <w:rFonts w:ascii="Arial" w:hAnsi="Arial"/>
          <w:color w:val="000000" w:themeColor="text1"/>
          <w:sz w:val="24"/>
        </w:rPr>
        <w:t xml:space="preserve"> Le rampe de diffuseurs est positionnée devant les rouleaux. Ainsi, la semence est immédiatement rappuyée pour placer la semence au contact de la terre et bénéficier de l'effet de capillarité pour une levée réussie. Ainsi, tout est en place pour une levée optimale des graines.</w:t>
      </w:r>
    </w:p>
    <w:p w14:paraId="3EF503D2" w14:textId="77777777" w:rsidR="00D15574" w:rsidRPr="00BC3467" w:rsidRDefault="00D15574" w:rsidP="00BC3467">
      <w:pPr>
        <w:spacing w:after="0" w:line="360" w:lineRule="auto"/>
        <w:jc w:val="both"/>
        <w:rPr>
          <w:rFonts w:ascii="Arial" w:eastAsia="Calibri" w:hAnsi="Arial" w:cs="Arial"/>
          <w:color w:val="000000" w:themeColor="text1"/>
          <w:sz w:val="24"/>
          <w:szCs w:val="24"/>
        </w:rPr>
      </w:pPr>
    </w:p>
    <w:p w14:paraId="1134D9A1" w14:textId="6E9DE874" w:rsidR="00BC3467" w:rsidRDefault="00BC3467" w:rsidP="00BC3467">
      <w:pPr>
        <w:spacing w:after="0" w:line="360" w:lineRule="auto"/>
        <w:jc w:val="both"/>
        <w:rPr>
          <w:rFonts w:ascii="Arial" w:hAnsi="Arial"/>
          <w:color w:val="000000" w:themeColor="text1"/>
          <w:sz w:val="24"/>
        </w:rPr>
      </w:pPr>
      <w:r>
        <w:rPr>
          <w:rFonts w:ascii="Arial" w:hAnsi="Arial"/>
          <w:color w:val="000000" w:themeColor="text1"/>
          <w:sz w:val="24"/>
        </w:rPr>
        <w:t>Utilisé en combinaison avec un matériel d'entretien des cultures, le TEGOSEM permet d'implanter des cultures intermédiaires et des sous-semis. En particulier pour les cultures sarclées avec de larges interlignes, un semis sous couvert est idéal afin de prévenir l'érosion et d'augmenter la portance en automne. Les couverts offrent l'avantage de stabiliser le sol grâce à leurs racines et d'augmenter la capacité du sol à absorber l'eau. La houe rotative ROTOCARE assure une fragmentation de la croûte, l'ajout de la semence se fait directement derrière le flux de terre soulevé. Ainsi, les semences ou autres granulés similaires sont recouverts de terre par la suite et la couverture du sol est réalisée. En outre, le déplacement de terre entraîne la minéralisation des substances nutritives, au profit du sous-semis et de la culture principale.</w:t>
      </w:r>
    </w:p>
    <w:p w14:paraId="1BF3D3EA" w14:textId="77777777" w:rsidR="00D15574" w:rsidRPr="00BC3467" w:rsidRDefault="00D15574" w:rsidP="00BC3467">
      <w:pPr>
        <w:spacing w:after="0" w:line="360" w:lineRule="auto"/>
        <w:jc w:val="both"/>
        <w:rPr>
          <w:rFonts w:ascii="Arial" w:eastAsia="Calibri" w:hAnsi="Arial" w:cs="Arial"/>
          <w:color w:val="000000" w:themeColor="text1"/>
          <w:sz w:val="24"/>
          <w:szCs w:val="24"/>
        </w:rPr>
      </w:pPr>
    </w:p>
    <w:p w14:paraId="338DAE36" w14:textId="77777777" w:rsidR="00BC3467" w:rsidRPr="00991D1C" w:rsidRDefault="00BC3467" w:rsidP="00BC3467">
      <w:pPr>
        <w:spacing w:after="0" w:line="360" w:lineRule="auto"/>
        <w:jc w:val="both"/>
        <w:rPr>
          <w:rFonts w:ascii="Arial" w:eastAsia="Calibri" w:hAnsi="Arial" w:cs="Arial"/>
          <w:b/>
          <w:bCs/>
          <w:color w:val="000000" w:themeColor="text1"/>
          <w:sz w:val="24"/>
          <w:szCs w:val="24"/>
        </w:rPr>
      </w:pPr>
      <w:r>
        <w:rPr>
          <w:rFonts w:ascii="Arial" w:hAnsi="Arial"/>
          <w:b/>
          <w:color w:val="000000" w:themeColor="text1"/>
          <w:sz w:val="24"/>
        </w:rPr>
        <w:t>Une combinaison économe en ressources</w:t>
      </w:r>
    </w:p>
    <w:p w14:paraId="5D611459" w14:textId="349A493C"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 xml:space="preserve">La trémie polyvalente TEGOSEM est la partenaire idéale des outils de travail du sol et de préparation du lit de semences. Cette combinaison permet d'épandre en un seul passage des sous-semis, des cultures intermédiaires ou des éléments complémentaires similaires, tout en préservant les ressources. Cela contribue à préserver la fertilité des sols et pose les bases d'une exploitation durable. </w:t>
      </w:r>
    </w:p>
    <w:p w14:paraId="70568627" w14:textId="7415784B" w:rsidR="00D15574" w:rsidRDefault="00D15574">
      <w:pPr>
        <w:rPr>
          <w:rFonts w:ascii="Calibri" w:eastAsia="Calibri" w:hAnsi="Calibri" w:cs="Calibri"/>
          <w:color w:val="000000" w:themeColor="text1"/>
        </w:rPr>
      </w:pPr>
      <w:r>
        <w:rPr>
          <w:rFonts w:ascii="Calibri" w:eastAsia="Calibri" w:hAnsi="Calibri" w:cs="Calibri"/>
          <w:color w:val="000000" w:themeColor="text1"/>
        </w:rPr>
        <w:br w:type="page"/>
      </w:r>
    </w:p>
    <w:p w14:paraId="4D396DFD" w14:textId="77777777" w:rsidR="00806809" w:rsidRDefault="00806809" w:rsidP="00806809">
      <w:pPr>
        <w:spacing w:line="360" w:lineRule="auto"/>
        <w:jc w:val="both"/>
        <w:rPr>
          <w:rFonts w:ascii="Arial" w:hAnsi="Arial" w:cs="Arial"/>
          <w:b/>
          <w:bCs/>
          <w:sz w:val="24"/>
          <w:szCs w:val="24"/>
        </w:rPr>
      </w:pPr>
      <w:r>
        <w:rPr>
          <w:rFonts w:ascii="Arial" w:hAnsi="Arial"/>
          <w:b/>
          <w:sz w:val="24"/>
        </w:rPr>
        <w:lastRenderedPageBreak/>
        <w:t>Aperçu des photos :</w:t>
      </w:r>
    </w:p>
    <w:tbl>
      <w:tblPr>
        <w:tblStyle w:val="Grilledutableau"/>
        <w:tblW w:w="9067" w:type="dxa"/>
        <w:tblLayout w:type="fixed"/>
        <w:tblLook w:val="04A0" w:firstRow="1" w:lastRow="0" w:firstColumn="1" w:lastColumn="0" w:noHBand="0" w:noVBand="1"/>
      </w:tblPr>
      <w:tblGrid>
        <w:gridCol w:w="4533"/>
        <w:gridCol w:w="4534"/>
      </w:tblGrid>
      <w:tr w:rsidR="00806809" w:rsidRPr="00EF6149" w14:paraId="608313D6" w14:textId="77777777" w:rsidTr="008430BC">
        <w:trPr>
          <w:trHeight w:val="1729"/>
        </w:trPr>
        <w:tc>
          <w:tcPr>
            <w:tcW w:w="4533" w:type="dxa"/>
            <w:vAlign w:val="center"/>
          </w:tcPr>
          <w:p w14:paraId="63971B54" w14:textId="08363C9B" w:rsidR="00963ED2" w:rsidRPr="00EF6149" w:rsidRDefault="00EF6149" w:rsidP="008430BC">
            <w:pPr>
              <w:jc w:val="center"/>
              <w:rPr>
                <w:rFonts w:ascii="Arial" w:hAnsi="Arial" w:cs="Arial"/>
                <w:noProof/>
                <w:sz w:val="22"/>
                <w:szCs w:val="22"/>
              </w:rPr>
            </w:pPr>
            <w:bookmarkStart w:id="0" w:name="_Hlk89175597"/>
            <w:r w:rsidRPr="008430BC">
              <w:rPr>
                <w:rFonts w:ascii="Arial" w:hAnsi="Arial" w:cs="Arial"/>
                <w:noProof/>
              </w:rPr>
              <w:drawing>
                <wp:inline distT="0" distB="0" distL="0" distR="0" wp14:anchorId="23BFB331" wp14:editId="72801ADC">
                  <wp:extent cx="1478082" cy="972000"/>
                  <wp:effectExtent l="0" t="0" r="8255" b="0"/>
                  <wp:docPr id="12108447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44730" name=""/>
                          <pic:cNvPicPr/>
                        </pic:nvPicPr>
                        <pic:blipFill>
                          <a:blip r:embed="rId10">
                            <a:extLst>
                              <a:ext uri="{28A0092B-C50C-407E-A947-70E740481C1C}">
                                <a14:useLocalDpi xmlns:a14="http://schemas.microsoft.com/office/drawing/2010/main" val="0"/>
                              </a:ext>
                            </a:extLst>
                          </a:blip>
                          <a:stretch>
                            <a:fillRect/>
                          </a:stretch>
                        </pic:blipFill>
                        <pic:spPr>
                          <a:xfrm>
                            <a:off x="0" y="0"/>
                            <a:ext cx="1478082" cy="972000"/>
                          </a:xfrm>
                          <a:prstGeom prst="rect">
                            <a:avLst/>
                          </a:prstGeom>
                        </pic:spPr>
                      </pic:pic>
                    </a:graphicData>
                  </a:graphic>
                </wp:inline>
              </w:drawing>
            </w:r>
          </w:p>
        </w:tc>
        <w:tc>
          <w:tcPr>
            <w:tcW w:w="4534" w:type="dxa"/>
            <w:vAlign w:val="center"/>
          </w:tcPr>
          <w:p w14:paraId="237F2A36" w14:textId="29587F31" w:rsidR="00806809" w:rsidRPr="00EF6149" w:rsidRDefault="00EF6149" w:rsidP="008430BC">
            <w:pPr>
              <w:jc w:val="center"/>
              <w:rPr>
                <w:rFonts w:ascii="Arial" w:hAnsi="Arial" w:cs="Arial"/>
                <w:noProof/>
                <w:sz w:val="22"/>
                <w:szCs w:val="22"/>
              </w:rPr>
            </w:pPr>
            <w:r w:rsidRPr="00EF6149">
              <w:rPr>
                <w:rFonts w:ascii="Arial" w:hAnsi="Arial" w:cs="Arial"/>
                <w:noProof/>
              </w:rPr>
              <w:drawing>
                <wp:inline distT="0" distB="0" distL="0" distR="0" wp14:anchorId="5DD0BFC9" wp14:editId="1B30A183">
                  <wp:extent cx="1728575" cy="972000"/>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8575" cy="972000"/>
                          </a:xfrm>
                          <a:prstGeom prst="rect">
                            <a:avLst/>
                          </a:prstGeom>
                          <a:noFill/>
                          <a:ln>
                            <a:noFill/>
                          </a:ln>
                        </pic:spPr>
                      </pic:pic>
                    </a:graphicData>
                  </a:graphic>
                </wp:inline>
              </w:drawing>
            </w:r>
          </w:p>
        </w:tc>
      </w:tr>
      <w:tr w:rsidR="00806809" w:rsidRPr="00EF6149" w14:paraId="2E936F52" w14:textId="77777777" w:rsidTr="00EF6149">
        <w:trPr>
          <w:trHeight w:val="485"/>
        </w:trPr>
        <w:tc>
          <w:tcPr>
            <w:tcW w:w="4533" w:type="dxa"/>
            <w:vAlign w:val="center"/>
          </w:tcPr>
          <w:p w14:paraId="1F9CD7C1" w14:textId="314937C2" w:rsidR="00806809" w:rsidRPr="00EF6149" w:rsidRDefault="00E644DE" w:rsidP="00EF6149">
            <w:pPr>
              <w:autoSpaceDE w:val="0"/>
              <w:autoSpaceDN w:val="0"/>
              <w:adjustRightInd w:val="0"/>
              <w:spacing w:before="60" w:after="60"/>
              <w:jc w:val="center"/>
              <w:rPr>
                <w:rFonts w:ascii="Arial" w:hAnsi="Arial" w:cs="Arial"/>
                <w:sz w:val="22"/>
                <w:szCs w:val="22"/>
              </w:rPr>
            </w:pPr>
            <w:r w:rsidRPr="00EF6149">
              <w:rPr>
                <w:rFonts w:ascii="Arial" w:hAnsi="Arial" w:cs="Arial"/>
                <w:sz w:val="22"/>
                <w:szCs w:val="22"/>
              </w:rPr>
              <w:t>TERRIA avec TEGOSEM</w:t>
            </w:r>
          </w:p>
        </w:tc>
        <w:tc>
          <w:tcPr>
            <w:tcW w:w="4534" w:type="dxa"/>
            <w:vAlign w:val="center"/>
          </w:tcPr>
          <w:p w14:paraId="5F0DC6E0" w14:textId="2A05F1E1" w:rsidR="00806809" w:rsidRPr="00EF6149" w:rsidRDefault="00405C62" w:rsidP="00EF6149">
            <w:pPr>
              <w:autoSpaceDE w:val="0"/>
              <w:autoSpaceDN w:val="0"/>
              <w:adjustRightInd w:val="0"/>
              <w:spacing w:before="60" w:after="60"/>
              <w:jc w:val="center"/>
              <w:rPr>
                <w:rFonts w:ascii="Arial" w:hAnsi="Arial" w:cs="Arial"/>
                <w:sz w:val="22"/>
                <w:szCs w:val="22"/>
              </w:rPr>
            </w:pPr>
            <w:r w:rsidRPr="00EF6149">
              <w:rPr>
                <w:rFonts w:ascii="Arial" w:hAnsi="Arial" w:cs="Arial"/>
                <w:sz w:val="22"/>
                <w:szCs w:val="22"/>
              </w:rPr>
              <w:t>TERRADISC_6001 T avec TEGOSEM</w:t>
            </w:r>
          </w:p>
        </w:tc>
      </w:tr>
      <w:tr w:rsidR="00806809" w:rsidRPr="00EF6149" w14:paraId="46065D7E" w14:textId="77777777" w:rsidTr="00EF6149">
        <w:trPr>
          <w:trHeight w:val="234"/>
        </w:trPr>
        <w:tc>
          <w:tcPr>
            <w:tcW w:w="4533" w:type="dxa"/>
            <w:vAlign w:val="center"/>
          </w:tcPr>
          <w:p w14:paraId="69225E80" w14:textId="3AC45FF8" w:rsidR="00963ED2" w:rsidRPr="006D14FD" w:rsidRDefault="006D14FD" w:rsidP="00EF6149">
            <w:pPr>
              <w:spacing w:before="60" w:after="60"/>
              <w:jc w:val="center"/>
              <w:rPr>
                <w:rFonts w:ascii="Arial" w:eastAsia="Calibri" w:hAnsi="Arial" w:cs="Arial"/>
                <w:color w:val="0000FF"/>
                <w:lang w:eastAsia="en-US"/>
              </w:rPr>
            </w:pPr>
            <w:hyperlink r:id="rId12" w:history="1">
              <w:r w:rsidR="00EF6149" w:rsidRPr="006D14FD">
                <w:rPr>
                  <w:rStyle w:val="Lienhypertexte"/>
                  <w:rFonts w:ascii="Arial" w:eastAsia="Calibri" w:hAnsi="Arial" w:cs="Arial"/>
                  <w:lang w:eastAsia="en-US"/>
                </w:rPr>
                <w:t>https://www.poettinger.at/fr_fr/newsroom/pressebild/102085</w:t>
              </w:r>
            </w:hyperlink>
          </w:p>
        </w:tc>
        <w:tc>
          <w:tcPr>
            <w:tcW w:w="4534" w:type="dxa"/>
            <w:vAlign w:val="center"/>
          </w:tcPr>
          <w:p w14:paraId="669039CD" w14:textId="1AA27A6C" w:rsidR="00806809" w:rsidRPr="006D14FD" w:rsidRDefault="006D14FD" w:rsidP="00EF6149">
            <w:pPr>
              <w:spacing w:before="60" w:after="60"/>
              <w:jc w:val="center"/>
              <w:rPr>
                <w:rFonts w:ascii="Arial" w:hAnsi="Arial" w:cs="Arial"/>
                <w:color w:val="0000FF"/>
              </w:rPr>
            </w:pPr>
            <w:hyperlink r:id="rId13" w:history="1">
              <w:r w:rsidR="00EF6149" w:rsidRPr="006D14FD">
                <w:rPr>
                  <w:rStyle w:val="Lienhypertexte"/>
                  <w:rFonts w:ascii="Arial" w:hAnsi="Arial" w:cs="Arial"/>
                </w:rPr>
                <w:t>https://www.poettinger.at/fr_fr/newsroom/pressebild/92055</w:t>
              </w:r>
            </w:hyperlink>
          </w:p>
        </w:tc>
      </w:tr>
      <w:bookmarkEnd w:id="0"/>
      <w:tr w:rsidR="00B646D6" w:rsidRPr="00EF6149" w14:paraId="702BB358" w14:textId="77777777" w:rsidTr="00EF6149">
        <w:tc>
          <w:tcPr>
            <w:tcW w:w="4533" w:type="dxa"/>
            <w:vAlign w:val="center"/>
          </w:tcPr>
          <w:p w14:paraId="6D2B6985" w14:textId="3C48EF0A" w:rsidR="00B646D6" w:rsidRPr="00EF6149" w:rsidRDefault="00EF6149" w:rsidP="00EF6149">
            <w:pPr>
              <w:spacing w:before="60" w:after="60"/>
              <w:jc w:val="center"/>
              <w:rPr>
                <w:rFonts w:ascii="Arial" w:hAnsi="Arial" w:cs="Arial"/>
                <w:sz w:val="22"/>
                <w:szCs w:val="22"/>
              </w:rPr>
            </w:pPr>
            <w:r w:rsidRPr="00EF6149">
              <w:rPr>
                <w:rFonts w:ascii="Arial" w:hAnsi="Arial" w:cs="Arial"/>
                <w:noProof/>
              </w:rPr>
              <w:drawing>
                <wp:inline distT="0" distB="0" distL="0" distR="0" wp14:anchorId="55072E92" wp14:editId="03F332B1">
                  <wp:extent cx="1455301" cy="972000"/>
                  <wp:effectExtent l="0" t="0" r="0" b="0"/>
                  <wp:docPr id="4091063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5301" cy="972000"/>
                          </a:xfrm>
                          <a:prstGeom prst="rect">
                            <a:avLst/>
                          </a:prstGeom>
                          <a:noFill/>
                          <a:ln>
                            <a:noFill/>
                          </a:ln>
                        </pic:spPr>
                      </pic:pic>
                    </a:graphicData>
                  </a:graphic>
                </wp:inline>
              </w:drawing>
            </w:r>
          </w:p>
        </w:tc>
        <w:tc>
          <w:tcPr>
            <w:tcW w:w="4534" w:type="dxa"/>
            <w:vAlign w:val="center"/>
          </w:tcPr>
          <w:p w14:paraId="357BF9D2" w14:textId="73EEFD63" w:rsidR="00B646D6" w:rsidRPr="00EF6149" w:rsidRDefault="00EF6149" w:rsidP="00EF6149">
            <w:pPr>
              <w:spacing w:before="60" w:after="60"/>
              <w:jc w:val="center"/>
              <w:rPr>
                <w:rFonts w:ascii="Arial" w:hAnsi="Arial" w:cs="Arial"/>
                <w:sz w:val="22"/>
                <w:szCs w:val="22"/>
              </w:rPr>
            </w:pPr>
            <w:r w:rsidRPr="00EF6149">
              <w:rPr>
                <w:rFonts w:ascii="Arial" w:hAnsi="Arial" w:cs="Arial"/>
                <w:noProof/>
              </w:rPr>
              <w:drawing>
                <wp:inline distT="0" distB="0" distL="0" distR="0" wp14:anchorId="327BAE76" wp14:editId="34619079">
                  <wp:extent cx="1454979" cy="972000"/>
                  <wp:effectExtent l="0" t="0" r="0" b="0"/>
                  <wp:docPr id="14755293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4979" cy="972000"/>
                          </a:xfrm>
                          <a:prstGeom prst="rect">
                            <a:avLst/>
                          </a:prstGeom>
                          <a:noFill/>
                          <a:ln>
                            <a:noFill/>
                          </a:ln>
                        </pic:spPr>
                      </pic:pic>
                    </a:graphicData>
                  </a:graphic>
                </wp:inline>
              </w:drawing>
            </w:r>
          </w:p>
        </w:tc>
      </w:tr>
      <w:tr w:rsidR="00B646D6" w:rsidRPr="00EF6149" w14:paraId="001FF176" w14:textId="77777777" w:rsidTr="00EF6149">
        <w:tc>
          <w:tcPr>
            <w:tcW w:w="4533" w:type="dxa"/>
            <w:vAlign w:val="center"/>
          </w:tcPr>
          <w:p w14:paraId="578C30CD" w14:textId="0BB7DBFA" w:rsidR="00B646D6" w:rsidRPr="00EF6149" w:rsidRDefault="00C40A55" w:rsidP="00EF6149">
            <w:pPr>
              <w:spacing w:before="60" w:after="60"/>
              <w:jc w:val="center"/>
              <w:rPr>
                <w:rFonts w:ascii="Arial" w:hAnsi="Arial" w:cs="Arial"/>
                <w:sz w:val="22"/>
                <w:szCs w:val="22"/>
              </w:rPr>
            </w:pPr>
            <w:r w:rsidRPr="00EF6149">
              <w:rPr>
                <w:rFonts w:ascii="Arial" w:hAnsi="Arial" w:cs="Arial"/>
                <w:sz w:val="22"/>
                <w:szCs w:val="22"/>
              </w:rPr>
              <w:t xml:space="preserve">ROTOCARE </w:t>
            </w:r>
            <w:r w:rsidR="00EF6149" w:rsidRPr="00EF6149">
              <w:rPr>
                <w:rFonts w:ascii="Arial" w:hAnsi="Arial" w:cs="Arial"/>
                <w:sz w:val="22"/>
                <w:szCs w:val="22"/>
              </w:rPr>
              <w:t xml:space="preserve">V 6600 </w:t>
            </w:r>
            <w:r w:rsidRPr="00EF6149">
              <w:rPr>
                <w:rFonts w:ascii="Arial" w:hAnsi="Arial" w:cs="Arial"/>
                <w:sz w:val="22"/>
                <w:szCs w:val="22"/>
              </w:rPr>
              <w:t>avec TEGOSEM</w:t>
            </w:r>
          </w:p>
        </w:tc>
        <w:tc>
          <w:tcPr>
            <w:tcW w:w="4534" w:type="dxa"/>
            <w:vAlign w:val="center"/>
          </w:tcPr>
          <w:p w14:paraId="38390FCD" w14:textId="057BBF4A" w:rsidR="00B646D6" w:rsidRPr="00EF6149" w:rsidRDefault="00EF6149" w:rsidP="00EF6149">
            <w:pPr>
              <w:spacing w:before="60" w:after="60"/>
              <w:jc w:val="center"/>
              <w:rPr>
                <w:rFonts w:ascii="Arial" w:hAnsi="Arial" w:cs="Arial"/>
                <w:sz w:val="22"/>
                <w:szCs w:val="22"/>
              </w:rPr>
            </w:pPr>
            <w:r w:rsidRPr="00EF6149">
              <w:rPr>
                <w:rFonts w:ascii="Arial" w:hAnsi="Arial" w:cs="Arial"/>
                <w:sz w:val="22"/>
                <w:szCs w:val="22"/>
              </w:rPr>
              <w:t>TERRIA 4040 – éclateurs pour une meilleure répartition</w:t>
            </w:r>
          </w:p>
        </w:tc>
      </w:tr>
      <w:tr w:rsidR="00EF6149" w:rsidRPr="00EF6149" w14:paraId="11E4DED2" w14:textId="77777777" w:rsidTr="00EF6149">
        <w:tc>
          <w:tcPr>
            <w:tcW w:w="4533" w:type="dxa"/>
            <w:vAlign w:val="center"/>
          </w:tcPr>
          <w:p w14:paraId="647EE201" w14:textId="751136CE" w:rsidR="00EF6149" w:rsidRPr="006D14FD" w:rsidRDefault="006D14FD" w:rsidP="00EF6149">
            <w:pPr>
              <w:spacing w:before="60" w:after="60"/>
              <w:jc w:val="center"/>
              <w:rPr>
                <w:rFonts w:ascii="Arial" w:hAnsi="Arial" w:cs="Arial"/>
                <w:color w:val="0000FF"/>
              </w:rPr>
            </w:pPr>
            <w:hyperlink r:id="rId16" w:history="1">
              <w:r w:rsidR="00EF6149" w:rsidRPr="006D14FD">
                <w:rPr>
                  <w:rStyle w:val="Lienhypertexte"/>
                  <w:rFonts w:ascii="Arial" w:hAnsi="Arial" w:cs="Arial"/>
                </w:rPr>
                <w:t>https://www.poettinger.at/fr_fr/newsroom/pressebild/103002</w:t>
              </w:r>
            </w:hyperlink>
          </w:p>
        </w:tc>
        <w:tc>
          <w:tcPr>
            <w:tcW w:w="4534" w:type="dxa"/>
            <w:vAlign w:val="center"/>
          </w:tcPr>
          <w:p w14:paraId="72B12BA9" w14:textId="190D7D09" w:rsidR="00EF6149" w:rsidRPr="006D14FD" w:rsidRDefault="006D14FD" w:rsidP="00EF6149">
            <w:pPr>
              <w:spacing w:before="60" w:after="60"/>
              <w:jc w:val="center"/>
              <w:rPr>
                <w:rFonts w:ascii="Arial" w:hAnsi="Arial" w:cs="Arial"/>
                <w:color w:val="0000FF"/>
              </w:rPr>
            </w:pPr>
            <w:hyperlink r:id="rId17" w:history="1">
              <w:r w:rsidR="00EF6149" w:rsidRPr="006D14FD">
                <w:rPr>
                  <w:rStyle w:val="Lienhypertexte"/>
                  <w:rFonts w:ascii="Arial" w:hAnsi="Arial" w:cs="Arial"/>
                </w:rPr>
                <w:t>https://www.poettinger.at/fr_fr/newsroom/pressebild/101044</w:t>
              </w:r>
            </w:hyperlink>
          </w:p>
        </w:tc>
      </w:tr>
      <w:tr w:rsidR="00EF6149" w:rsidRPr="00EF6149" w14:paraId="56799FE5" w14:textId="77777777" w:rsidTr="00EF6149">
        <w:tc>
          <w:tcPr>
            <w:tcW w:w="4533" w:type="dxa"/>
            <w:vAlign w:val="center"/>
          </w:tcPr>
          <w:p w14:paraId="2A8FD2E9" w14:textId="73CA6FD6" w:rsidR="00EF6149" w:rsidRPr="00EF6149" w:rsidRDefault="00EF6149" w:rsidP="00EF6149">
            <w:pPr>
              <w:spacing w:before="60" w:after="60"/>
              <w:jc w:val="center"/>
              <w:rPr>
                <w:rFonts w:ascii="Arial" w:hAnsi="Arial" w:cs="Arial"/>
                <w:sz w:val="22"/>
                <w:szCs w:val="22"/>
                <w:lang w:val="de-DE"/>
              </w:rPr>
            </w:pPr>
            <w:r w:rsidRPr="00EF6149">
              <w:rPr>
                <w:rFonts w:ascii="Arial" w:hAnsi="Arial" w:cs="Arial"/>
                <w:noProof/>
              </w:rPr>
              <w:drawing>
                <wp:inline distT="0" distB="0" distL="0" distR="0" wp14:anchorId="1D58980C" wp14:editId="39B53BBE">
                  <wp:extent cx="1455303" cy="972000"/>
                  <wp:effectExtent l="0" t="0" r="0" b="0"/>
                  <wp:docPr id="14354303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5303" cy="972000"/>
                          </a:xfrm>
                          <a:prstGeom prst="rect">
                            <a:avLst/>
                          </a:prstGeom>
                          <a:noFill/>
                          <a:ln>
                            <a:noFill/>
                          </a:ln>
                        </pic:spPr>
                      </pic:pic>
                    </a:graphicData>
                  </a:graphic>
                </wp:inline>
              </w:drawing>
            </w:r>
          </w:p>
        </w:tc>
        <w:tc>
          <w:tcPr>
            <w:tcW w:w="4534" w:type="dxa"/>
            <w:vAlign w:val="center"/>
          </w:tcPr>
          <w:p w14:paraId="6A9AFA1A" w14:textId="7459B8A6" w:rsidR="00EF6149" w:rsidRPr="00EF6149" w:rsidRDefault="00EF6149" w:rsidP="00EF6149">
            <w:pPr>
              <w:spacing w:before="60" w:after="60"/>
              <w:jc w:val="center"/>
              <w:rPr>
                <w:rFonts w:ascii="Arial" w:hAnsi="Arial" w:cs="Arial"/>
                <w:sz w:val="22"/>
                <w:szCs w:val="22"/>
                <w:lang w:val="de-DE"/>
              </w:rPr>
            </w:pPr>
            <w:r w:rsidRPr="00EF6149">
              <w:rPr>
                <w:rFonts w:ascii="Arial" w:hAnsi="Arial" w:cs="Arial"/>
                <w:noProof/>
              </w:rPr>
              <w:drawing>
                <wp:inline distT="0" distB="0" distL="0" distR="0" wp14:anchorId="310DAA1F" wp14:editId="6F250D6D">
                  <wp:extent cx="1455212" cy="972000"/>
                  <wp:effectExtent l="0" t="0" r="0" b="0"/>
                  <wp:docPr id="115764433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5212" cy="972000"/>
                          </a:xfrm>
                          <a:prstGeom prst="rect">
                            <a:avLst/>
                          </a:prstGeom>
                          <a:noFill/>
                          <a:ln>
                            <a:noFill/>
                          </a:ln>
                        </pic:spPr>
                      </pic:pic>
                    </a:graphicData>
                  </a:graphic>
                </wp:inline>
              </w:drawing>
            </w:r>
          </w:p>
        </w:tc>
      </w:tr>
      <w:tr w:rsidR="00EF6149" w:rsidRPr="00EF6149" w14:paraId="451979F3" w14:textId="77777777" w:rsidTr="00EF6149">
        <w:tc>
          <w:tcPr>
            <w:tcW w:w="4533" w:type="dxa"/>
            <w:vAlign w:val="center"/>
          </w:tcPr>
          <w:p w14:paraId="51011E8B" w14:textId="23B47ECE" w:rsidR="00EF6149" w:rsidRPr="00EF6149" w:rsidRDefault="00EF6149" w:rsidP="00EF6149">
            <w:pPr>
              <w:spacing w:before="60" w:after="60"/>
              <w:jc w:val="center"/>
              <w:rPr>
                <w:rFonts w:ascii="Arial" w:hAnsi="Arial" w:cs="Arial"/>
                <w:sz w:val="22"/>
                <w:szCs w:val="22"/>
              </w:rPr>
            </w:pPr>
            <w:r w:rsidRPr="00EF6149">
              <w:rPr>
                <w:rFonts w:ascii="Arial" w:hAnsi="Arial" w:cs="Arial"/>
                <w:sz w:val="22"/>
                <w:szCs w:val="22"/>
              </w:rPr>
              <w:t>FOX 300 D, VITASEM M 3000 DD - arbre de distribution pour grosse graines</w:t>
            </w:r>
          </w:p>
        </w:tc>
        <w:tc>
          <w:tcPr>
            <w:tcW w:w="4534" w:type="dxa"/>
            <w:vAlign w:val="center"/>
          </w:tcPr>
          <w:p w14:paraId="32FD93BD" w14:textId="695C030D" w:rsidR="00EF6149" w:rsidRPr="00EF6149" w:rsidRDefault="00EF6149" w:rsidP="00EF6149">
            <w:pPr>
              <w:spacing w:before="60" w:after="60"/>
              <w:jc w:val="center"/>
              <w:rPr>
                <w:rFonts w:ascii="Arial" w:hAnsi="Arial" w:cs="Arial"/>
                <w:sz w:val="22"/>
                <w:szCs w:val="22"/>
              </w:rPr>
            </w:pPr>
            <w:r w:rsidRPr="00EF6149">
              <w:rPr>
                <w:rFonts w:ascii="Arial" w:hAnsi="Arial" w:cs="Arial"/>
                <w:sz w:val="22"/>
                <w:szCs w:val="22"/>
              </w:rPr>
              <w:t>FOX 300 D, VITASEM M 3000 DD – arbre de distribution pour petites graines</w:t>
            </w:r>
          </w:p>
        </w:tc>
      </w:tr>
      <w:tr w:rsidR="00EF6149" w:rsidRPr="00EF6149" w14:paraId="5C0D5E2D" w14:textId="77777777" w:rsidTr="00EF6149">
        <w:tc>
          <w:tcPr>
            <w:tcW w:w="4533" w:type="dxa"/>
            <w:vAlign w:val="center"/>
          </w:tcPr>
          <w:p w14:paraId="782F5765" w14:textId="444CBCCD" w:rsidR="00EF6149" w:rsidRPr="006D14FD" w:rsidRDefault="006D14FD" w:rsidP="00EF6149">
            <w:pPr>
              <w:spacing w:before="60" w:after="60"/>
              <w:jc w:val="center"/>
              <w:rPr>
                <w:rFonts w:ascii="Arial" w:hAnsi="Arial" w:cs="Arial"/>
                <w:color w:val="0000FF"/>
              </w:rPr>
            </w:pPr>
            <w:hyperlink r:id="rId20" w:history="1">
              <w:r w:rsidR="00EF6149" w:rsidRPr="006D14FD">
                <w:rPr>
                  <w:rStyle w:val="Lienhypertexte"/>
                  <w:rFonts w:ascii="Arial" w:hAnsi="Arial" w:cs="Arial"/>
                </w:rPr>
                <w:t>https://www.poettinger.at/fr_fr/newsroom/pressebild/112336</w:t>
              </w:r>
            </w:hyperlink>
          </w:p>
        </w:tc>
        <w:tc>
          <w:tcPr>
            <w:tcW w:w="4534" w:type="dxa"/>
            <w:tcBorders>
              <w:bottom w:val="single" w:sz="4" w:space="0" w:color="auto"/>
            </w:tcBorders>
            <w:vAlign w:val="center"/>
          </w:tcPr>
          <w:p w14:paraId="4B38C5E9" w14:textId="0434CE92" w:rsidR="00EF6149" w:rsidRPr="006D14FD" w:rsidRDefault="006D14FD" w:rsidP="00EF6149">
            <w:pPr>
              <w:spacing w:before="60" w:after="60"/>
              <w:jc w:val="center"/>
              <w:rPr>
                <w:rFonts w:ascii="Arial" w:hAnsi="Arial" w:cs="Arial"/>
                <w:color w:val="0000FF"/>
              </w:rPr>
            </w:pPr>
            <w:hyperlink r:id="rId21" w:history="1">
              <w:r w:rsidR="00EF6149" w:rsidRPr="006D14FD">
                <w:rPr>
                  <w:rStyle w:val="Lienhypertexte"/>
                  <w:rFonts w:ascii="Arial" w:hAnsi="Arial" w:cs="Arial"/>
                </w:rPr>
                <w:t>https://www.poettinger.at/fr_fr/newsroom/pressebild/111588</w:t>
              </w:r>
            </w:hyperlink>
          </w:p>
        </w:tc>
      </w:tr>
      <w:tr w:rsidR="00EF6149" w:rsidRPr="00EF6149" w14:paraId="34DC34F3" w14:textId="77777777" w:rsidTr="00EF6149">
        <w:tc>
          <w:tcPr>
            <w:tcW w:w="4533" w:type="dxa"/>
            <w:vAlign w:val="center"/>
          </w:tcPr>
          <w:p w14:paraId="1444CB79" w14:textId="31C42008" w:rsidR="00EF6149" w:rsidRPr="00EF6149" w:rsidRDefault="00EF6149" w:rsidP="00EF6149">
            <w:pPr>
              <w:spacing w:before="60" w:after="60"/>
              <w:jc w:val="center"/>
              <w:rPr>
                <w:rFonts w:ascii="Arial" w:hAnsi="Arial" w:cs="Arial"/>
                <w:sz w:val="22"/>
                <w:szCs w:val="22"/>
              </w:rPr>
            </w:pPr>
            <w:r w:rsidRPr="00EF6149">
              <w:rPr>
                <w:rFonts w:ascii="Arial" w:hAnsi="Arial" w:cs="Arial"/>
                <w:noProof/>
              </w:rPr>
              <w:drawing>
                <wp:inline distT="0" distB="0" distL="0" distR="0" wp14:anchorId="4C0D9C69" wp14:editId="4DCB19C6">
                  <wp:extent cx="1455301" cy="972000"/>
                  <wp:effectExtent l="0" t="0" r="0" b="0"/>
                  <wp:docPr id="2730412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5301" cy="972000"/>
                          </a:xfrm>
                          <a:prstGeom prst="rect">
                            <a:avLst/>
                          </a:prstGeom>
                          <a:noFill/>
                          <a:ln>
                            <a:noFill/>
                          </a:ln>
                        </pic:spPr>
                      </pic:pic>
                    </a:graphicData>
                  </a:graphic>
                </wp:inline>
              </w:drawing>
            </w:r>
          </w:p>
        </w:tc>
        <w:tc>
          <w:tcPr>
            <w:tcW w:w="4534" w:type="dxa"/>
            <w:tcBorders>
              <w:bottom w:val="nil"/>
              <w:right w:val="nil"/>
            </w:tcBorders>
            <w:vAlign w:val="center"/>
          </w:tcPr>
          <w:p w14:paraId="2E3EA8BD" w14:textId="77777777" w:rsidR="00EF6149" w:rsidRPr="00EF6149" w:rsidRDefault="00EF6149" w:rsidP="00EF6149">
            <w:pPr>
              <w:spacing w:before="60" w:after="60"/>
              <w:jc w:val="center"/>
              <w:rPr>
                <w:rFonts w:ascii="Arial" w:hAnsi="Arial" w:cs="Arial"/>
                <w:sz w:val="22"/>
                <w:szCs w:val="22"/>
                <w:lang w:val="it-IT"/>
              </w:rPr>
            </w:pPr>
          </w:p>
        </w:tc>
      </w:tr>
      <w:tr w:rsidR="00EF6149" w:rsidRPr="006D14FD" w14:paraId="40C82364" w14:textId="77777777" w:rsidTr="00EF6149">
        <w:tc>
          <w:tcPr>
            <w:tcW w:w="4533" w:type="dxa"/>
            <w:vAlign w:val="center"/>
          </w:tcPr>
          <w:p w14:paraId="7EE82364" w14:textId="4C897590" w:rsidR="00EF6149" w:rsidRPr="00EF6149" w:rsidRDefault="00EF6149" w:rsidP="00EF6149">
            <w:pPr>
              <w:spacing w:before="60" w:after="60"/>
              <w:jc w:val="center"/>
              <w:rPr>
                <w:rFonts w:ascii="Arial" w:hAnsi="Arial" w:cs="Arial"/>
                <w:sz w:val="22"/>
                <w:szCs w:val="22"/>
                <w:lang w:val="it-IT"/>
              </w:rPr>
            </w:pPr>
            <w:r w:rsidRPr="00EF6149">
              <w:rPr>
                <w:rFonts w:ascii="Arial" w:hAnsi="Arial" w:cs="Arial"/>
                <w:sz w:val="22"/>
                <w:szCs w:val="22"/>
                <w:lang w:val="it-IT"/>
              </w:rPr>
              <w:t>VITASEM M 3000 DD FOX 300 D</w:t>
            </w:r>
          </w:p>
        </w:tc>
        <w:tc>
          <w:tcPr>
            <w:tcW w:w="4534" w:type="dxa"/>
            <w:tcBorders>
              <w:top w:val="nil"/>
              <w:bottom w:val="nil"/>
              <w:right w:val="nil"/>
            </w:tcBorders>
            <w:vAlign w:val="center"/>
          </w:tcPr>
          <w:p w14:paraId="2AA2C0B8" w14:textId="77777777" w:rsidR="00EF6149" w:rsidRPr="00EF6149" w:rsidRDefault="00EF6149" w:rsidP="00EF6149">
            <w:pPr>
              <w:spacing w:before="60" w:after="60"/>
              <w:jc w:val="center"/>
              <w:rPr>
                <w:rFonts w:ascii="Arial" w:hAnsi="Arial" w:cs="Arial"/>
                <w:sz w:val="22"/>
                <w:szCs w:val="22"/>
                <w:lang w:val="it-IT"/>
              </w:rPr>
            </w:pPr>
          </w:p>
        </w:tc>
      </w:tr>
      <w:tr w:rsidR="00EF6149" w:rsidRPr="006D14FD" w14:paraId="6C44F9DF" w14:textId="77777777" w:rsidTr="00EF6149">
        <w:tc>
          <w:tcPr>
            <w:tcW w:w="4533" w:type="dxa"/>
            <w:vAlign w:val="center"/>
          </w:tcPr>
          <w:p w14:paraId="59029748" w14:textId="2371D03D" w:rsidR="00EF6149" w:rsidRPr="00EF6149" w:rsidRDefault="006D14FD" w:rsidP="00EF6149">
            <w:pPr>
              <w:spacing w:before="60" w:after="60"/>
              <w:jc w:val="center"/>
              <w:rPr>
                <w:rFonts w:ascii="Arial" w:hAnsi="Arial" w:cs="Arial"/>
                <w:lang w:val="it-IT"/>
              </w:rPr>
            </w:pPr>
            <w:hyperlink r:id="rId23" w:history="1">
              <w:r w:rsidR="00EF6149" w:rsidRPr="006D14FD">
                <w:rPr>
                  <w:rStyle w:val="Lienhypertexte"/>
                  <w:rFonts w:ascii="Arial" w:hAnsi="Arial" w:cs="Arial"/>
                  <w:lang w:val="it-IT"/>
                </w:rPr>
                <w:t>https://www.poettinger.at/fr_fr/newsroom/pressebild/120936</w:t>
              </w:r>
            </w:hyperlink>
          </w:p>
        </w:tc>
        <w:tc>
          <w:tcPr>
            <w:tcW w:w="4534" w:type="dxa"/>
            <w:tcBorders>
              <w:top w:val="nil"/>
              <w:bottom w:val="nil"/>
              <w:right w:val="nil"/>
            </w:tcBorders>
            <w:vAlign w:val="center"/>
          </w:tcPr>
          <w:p w14:paraId="53728AD5" w14:textId="77777777" w:rsidR="00EF6149" w:rsidRPr="00EF6149" w:rsidRDefault="00EF6149" w:rsidP="00EF6149">
            <w:pPr>
              <w:spacing w:before="60" w:after="60"/>
              <w:jc w:val="center"/>
              <w:rPr>
                <w:rFonts w:ascii="Arial" w:hAnsi="Arial" w:cs="Arial"/>
                <w:sz w:val="22"/>
                <w:szCs w:val="22"/>
                <w:lang w:val="it-IT"/>
              </w:rPr>
            </w:pPr>
          </w:p>
        </w:tc>
      </w:tr>
    </w:tbl>
    <w:p w14:paraId="7587E779" w14:textId="77777777" w:rsidR="0028175F" w:rsidRPr="00B46E7A" w:rsidRDefault="0028175F" w:rsidP="00806809">
      <w:pPr>
        <w:rPr>
          <w:lang w:val="it-IT"/>
        </w:rPr>
      </w:pPr>
    </w:p>
    <w:p w14:paraId="1599ED83" w14:textId="7AA55503" w:rsidR="00806809" w:rsidRPr="00C02317" w:rsidRDefault="00806809" w:rsidP="008430BC">
      <w:pPr>
        <w:widowControl w:val="0"/>
        <w:autoSpaceDE w:val="0"/>
        <w:autoSpaceDN w:val="0"/>
        <w:adjustRightInd w:val="0"/>
        <w:spacing w:line="360" w:lineRule="auto"/>
        <w:jc w:val="both"/>
        <w:rPr>
          <w:rFonts w:ascii="Arial" w:hAnsi="Arial" w:cs="Arial"/>
          <w:sz w:val="24"/>
          <w:szCs w:val="24"/>
        </w:rPr>
      </w:pPr>
      <w:r>
        <w:rPr>
          <w:rFonts w:ascii="Arial" w:hAnsi="Arial"/>
          <w:snapToGrid w:val="0"/>
          <w:color w:val="000000"/>
        </w:rPr>
        <w:t xml:space="preserve">D'autres photos et images d'illustration sont disponibles sur le site internet de PÖTTINGER à l'adresse : </w:t>
      </w:r>
      <w:hyperlink r:id="rId24" w:history="1">
        <w:r>
          <w:rPr>
            <w:rStyle w:val="Lienhypertexte"/>
            <w:rFonts w:ascii="Arial" w:hAnsi="Arial"/>
            <w:snapToGrid w:val="0"/>
          </w:rPr>
          <w:t>https://www.poettinger.at/fr_fr/servic</w:t>
        </w:r>
        <w:r w:rsidRPr="006D14FD">
          <w:rPr>
            <w:rStyle w:val="Lienhypertexte"/>
            <w:rFonts w:ascii="Arial" w:hAnsi="Arial"/>
            <w:snapToGrid w:val="0"/>
          </w:rPr>
          <w:t>e</w:t>
        </w:r>
        <w:r>
          <w:rPr>
            <w:rStyle w:val="Lienhypertexte"/>
            <w:rFonts w:ascii="Arial" w:hAnsi="Arial"/>
            <w:snapToGrid w:val="0"/>
          </w:rPr>
          <w:t>s/downloadcenter</w:t>
        </w:r>
      </w:hyperlink>
    </w:p>
    <w:sectPr w:rsidR="00806809" w:rsidRPr="00C02317">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4859" w14:textId="77777777" w:rsidR="003C4897" w:rsidRDefault="003C4897" w:rsidP="00E01C9D">
      <w:pPr>
        <w:spacing w:after="0" w:line="240" w:lineRule="auto"/>
      </w:pPr>
      <w:r>
        <w:separator/>
      </w:r>
    </w:p>
  </w:endnote>
  <w:endnote w:type="continuationSeparator" w:id="0">
    <w:p w14:paraId="277C9279" w14:textId="77777777" w:rsidR="003C4897" w:rsidRDefault="003C4897" w:rsidP="00E0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77A5" w14:textId="77777777" w:rsidR="005F2F7E" w:rsidRDefault="005F2F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372" w14:textId="77777777" w:rsidR="00E01C9D" w:rsidRDefault="00E01C9D" w:rsidP="00E01C9D">
    <w:pPr>
      <w:spacing w:after="0" w:line="240" w:lineRule="auto"/>
      <w:rPr>
        <w:rFonts w:ascii="Arial" w:hAnsi="Arial" w:cs="Arial"/>
        <w:b/>
        <w:sz w:val="20"/>
        <w:szCs w:val="20"/>
      </w:rPr>
    </w:pPr>
  </w:p>
  <w:p w14:paraId="2137A8BA" w14:textId="77777777" w:rsidR="00E01C9D" w:rsidRPr="00D15574" w:rsidRDefault="00E01C9D" w:rsidP="00E01C9D">
    <w:pPr>
      <w:spacing w:after="0" w:line="240" w:lineRule="auto"/>
      <w:rPr>
        <w:rFonts w:ascii="Arial" w:hAnsi="Arial" w:cs="Arial"/>
        <w:bCs/>
        <w:sz w:val="20"/>
        <w:szCs w:val="20"/>
        <w:lang w:val="de-DE"/>
      </w:rPr>
    </w:pPr>
    <w:r w:rsidRPr="00D15574">
      <w:rPr>
        <w:rFonts w:ascii="Arial" w:hAnsi="Arial"/>
        <w:b/>
        <w:sz w:val="20"/>
        <w:lang w:val="de-DE"/>
      </w:rPr>
      <w:t xml:space="preserve">PÖTTINGER Landtechnik GmbH – </w:t>
    </w:r>
    <w:r w:rsidRPr="00D15574">
      <w:rPr>
        <w:rFonts w:ascii="Arial" w:hAnsi="Arial"/>
        <w:sz w:val="20"/>
        <w:lang w:val="de-DE"/>
      </w:rPr>
      <w:t>Communication d'entreprise</w:t>
    </w:r>
  </w:p>
  <w:p w14:paraId="6F50B904" w14:textId="77777777" w:rsidR="00E01C9D" w:rsidRPr="00D15574" w:rsidRDefault="00E01C9D" w:rsidP="00E01C9D">
    <w:pPr>
      <w:spacing w:after="0" w:line="240" w:lineRule="auto"/>
      <w:rPr>
        <w:rFonts w:ascii="Arial" w:hAnsi="Arial" w:cs="Arial"/>
        <w:sz w:val="20"/>
        <w:szCs w:val="20"/>
        <w:lang w:val="de-DE"/>
      </w:rPr>
    </w:pPr>
    <w:r w:rsidRPr="00D15574">
      <w:rPr>
        <w:rFonts w:ascii="Arial" w:hAnsi="Arial"/>
        <w:sz w:val="20"/>
        <w:lang w:val="de-DE"/>
      </w:rPr>
      <w:t>Inge Steibl, Industriegelände 1, AT-4710 Grieskirchen</w:t>
    </w:r>
  </w:p>
  <w:p w14:paraId="06D6B94E" w14:textId="77777777" w:rsidR="00E01C9D" w:rsidRPr="00CC4B04" w:rsidRDefault="00E01C9D" w:rsidP="00E01C9D">
    <w:pPr>
      <w:pStyle w:val="Pieddepage"/>
    </w:pPr>
    <w:r>
      <w:rPr>
        <w:rFonts w:ascii="Arial" w:hAnsi="Arial"/>
        <w:sz w:val="20"/>
      </w:rPr>
      <w:t xml:space="preserve">Tél. +43 7248 600-2415, e-mail :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AEC7" w14:textId="77777777" w:rsidR="005F2F7E" w:rsidRDefault="005F2F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A67" w14:textId="77777777" w:rsidR="003C4897" w:rsidRDefault="003C4897" w:rsidP="00E01C9D">
      <w:pPr>
        <w:spacing w:after="0" w:line="240" w:lineRule="auto"/>
      </w:pPr>
      <w:r>
        <w:separator/>
      </w:r>
    </w:p>
  </w:footnote>
  <w:footnote w:type="continuationSeparator" w:id="0">
    <w:p w14:paraId="52650347" w14:textId="77777777" w:rsidR="003C4897" w:rsidRDefault="003C4897" w:rsidP="00E0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AE7C" w14:textId="77777777" w:rsidR="005F2F7E" w:rsidRDefault="005F2F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62A" w14:textId="4325D69E" w:rsidR="008D43E7" w:rsidRDefault="00307181" w:rsidP="008D43E7">
    <w:pPr>
      <w:pStyle w:val="En-tt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5C12374A" wp14:editId="027A7D49">
          <wp:simplePos x="0" y="0"/>
          <wp:positionH relativeFrom="column">
            <wp:posOffset>3592830</wp:posOffset>
          </wp:positionH>
          <wp:positionV relativeFrom="paragraph">
            <wp:posOffset>113030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35D9239" w14:textId="765F5AA8" w:rsidR="008D43E7" w:rsidRDefault="008D43E7" w:rsidP="008D43E7">
    <w:pPr>
      <w:pStyle w:val="En-tte"/>
      <w:rPr>
        <w:rFonts w:ascii="Arial" w:hAnsi="Arial" w:cs="Arial"/>
        <w:b/>
        <w:bCs/>
        <w:sz w:val="24"/>
        <w:szCs w:val="24"/>
      </w:rPr>
    </w:pPr>
    <w:r>
      <w:rPr>
        <w:rFonts w:ascii="Arial" w:hAnsi="Arial"/>
        <w:b/>
        <w:sz w:val="24"/>
      </w:rPr>
      <w:t>Communiqué de presse</w:t>
    </w:r>
  </w:p>
  <w:p w14:paraId="0CDF3ABA" w14:textId="77777777" w:rsidR="00E01C9D" w:rsidRDefault="00E01C9D" w:rsidP="008D43E7">
    <w:pPr>
      <w:pStyle w:val="En-tte"/>
    </w:pPr>
  </w:p>
  <w:p w14:paraId="34828D8F" w14:textId="77777777" w:rsidR="00307181" w:rsidRPr="008D43E7" w:rsidRDefault="00307181" w:rsidP="008D43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9907" w14:textId="77777777" w:rsidR="005F2F7E" w:rsidRDefault="005F2F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25D7"/>
    <w:rsid w:val="0002743B"/>
    <w:rsid w:val="00051C90"/>
    <w:rsid w:val="00057112"/>
    <w:rsid w:val="000635D3"/>
    <w:rsid w:val="000830E6"/>
    <w:rsid w:val="000B37D7"/>
    <w:rsid w:val="000C25D8"/>
    <w:rsid w:val="000C401E"/>
    <w:rsid w:val="000C5315"/>
    <w:rsid w:val="000C760A"/>
    <w:rsid w:val="000E3415"/>
    <w:rsid w:val="00100B2C"/>
    <w:rsid w:val="0011418B"/>
    <w:rsid w:val="00151083"/>
    <w:rsid w:val="001919B3"/>
    <w:rsid w:val="001A0BC4"/>
    <w:rsid w:val="001A2F95"/>
    <w:rsid w:val="001A42B9"/>
    <w:rsid w:val="001D6FA3"/>
    <w:rsid w:val="001E1333"/>
    <w:rsid w:val="001E4B64"/>
    <w:rsid w:val="00201E2A"/>
    <w:rsid w:val="002158C2"/>
    <w:rsid w:val="00216898"/>
    <w:rsid w:val="00234361"/>
    <w:rsid w:val="00244777"/>
    <w:rsid w:val="00256D63"/>
    <w:rsid w:val="002606A3"/>
    <w:rsid w:val="0026266B"/>
    <w:rsid w:val="00266D8B"/>
    <w:rsid w:val="0028175F"/>
    <w:rsid w:val="00281AFB"/>
    <w:rsid w:val="002D41FD"/>
    <w:rsid w:val="002E01AB"/>
    <w:rsid w:val="003023C7"/>
    <w:rsid w:val="00307181"/>
    <w:rsid w:val="003100E2"/>
    <w:rsid w:val="0031240E"/>
    <w:rsid w:val="00314AF0"/>
    <w:rsid w:val="00323575"/>
    <w:rsid w:val="00324477"/>
    <w:rsid w:val="00361320"/>
    <w:rsid w:val="003B3530"/>
    <w:rsid w:val="003C4897"/>
    <w:rsid w:val="003D2773"/>
    <w:rsid w:val="004026CA"/>
    <w:rsid w:val="00405C62"/>
    <w:rsid w:val="00416393"/>
    <w:rsid w:val="004403EE"/>
    <w:rsid w:val="00440EC9"/>
    <w:rsid w:val="00441797"/>
    <w:rsid w:val="004805B3"/>
    <w:rsid w:val="00496ED0"/>
    <w:rsid w:val="004A6F02"/>
    <w:rsid w:val="004F0A74"/>
    <w:rsid w:val="00500864"/>
    <w:rsid w:val="0052173B"/>
    <w:rsid w:val="00533AB7"/>
    <w:rsid w:val="00542BD9"/>
    <w:rsid w:val="00551D68"/>
    <w:rsid w:val="005742E4"/>
    <w:rsid w:val="00576EB0"/>
    <w:rsid w:val="005D2ACE"/>
    <w:rsid w:val="005E083F"/>
    <w:rsid w:val="005F2F7E"/>
    <w:rsid w:val="005F793A"/>
    <w:rsid w:val="00607F32"/>
    <w:rsid w:val="00622EEF"/>
    <w:rsid w:val="00666106"/>
    <w:rsid w:val="0068663A"/>
    <w:rsid w:val="00691BDB"/>
    <w:rsid w:val="006B3A52"/>
    <w:rsid w:val="006B719F"/>
    <w:rsid w:val="006D14FD"/>
    <w:rsid w:val="006D43EF"/>
    <w:rsid w:val="006E37CD"/>
    <w:rsid w:val="006F22F4"/>
    <w:rsid w:val="007152B3"/>
    <w:rsid w:val="00721DC2"/>
    <w:rsid w:val="007231B1"/>
    <w:rsid w:val="00764543"/>
    <w:rsid w:val="00780B92"/>
    <w:rsid w:val="007A4A54"/>
    <w:rsid w:val="007D5960"/>
    <w:rsid w:val="007F2D7E"/>
    <w:rsid w:val="00806809"/>
    <w:rsid w:val="00806A7A"/>
    <w:rsid w:val="00813CFA"/>
    <w:rsid w:val="00831331"/>
    <w:rsid w:val="008430BC"/>
    <w:rsid w:val="00855961"/>
    <w:rsid w:val="0088515A"/>
    <w:rsid w:val="008937E5"/>
    <w:rsid w:val="008C64F9"/>
    <w:rsid w:val="008C7810"/>
    <w:rsid w:val="008D43E7"/>
    <w:rsid w:val="008D693C"/>
    <w:rsid w:val="008E37E1"/>
    <w:rsid w:val="0090473F"/>
    <w:rsid w:val="009048CD"/>
    <w:rsid w:val="009115F8"/>
    <w:rsid w:val="00927B20"/>
    <w:rsid w:val="00930673"/>
    <w:rsid w:val="00963ED2"/>
    <w:rsid w:val="00965BFF"/>
    <w:rsid w:val="00984FE0"/>
    <w:rsid w:val="00991D1C"/>
    <w:rsid w:val="009E4B80"/>
    <w:rsid w:val="009F204A"/>
    <w:rsid w:val="00A03483"/>
    <w:rsid w:val="00A560FB"/>
    <w:rsid w:val="00A63FDF"/>
    <w:rsid w:val="00A90BE0"/>
    <w:rsid w:val="00AA51CF"/>
    <w:rsid w:val="00AD443C"/>
    <w:rsid w:val="00AE2C10"/>
    <w:rsid w:val="00B46E7A"/>
    <w:rsid w:val="00B646D6"/>
    <w:rsid w:val="00BB166B"/>
    <w:rsid w:val="00BB52E7"/>
    <w:rsid w:val="00BC3467"/>
    <w:rsid w:val="00BF0458"/>
    <w:rsid w:val="00BF3BA1"/>
    <w:rsid w:val="00BF5739"/>
    <w:rsid w:val="00C02317"/>
    <w:rsid w:val="00C046A4"/>
    <w:rsid w:val="00C25445"/>
    <w:rsid w:val="00C3412F"/>
    <w:rsid w:val="00C40A55"/>
    <w:rsid w:val="00C45CBA"/>
    <w:rsid w:val="00C46E96"/>
    <w:rsid w:val="00C529F8"/>
    <w:rsid w:val="00C52F7B"/>
    <w:rsid w:val="00C76640"/>
    <w:rsid w:val="00C80375"/>
    <w:rsid w:val="00CC78C2"/>
    <w:rsid w:val="00D14E62"/>
    <w:rsid w:val="00D15574"/>
    <w:rsid w:val="00D37433"/>
    <w:rsid w:val="00D67246"/>
    <w:rsid w:val="00D8451A"/>
    <w:rsid w:val="00DA0831"/>
    <w:rsid w:val="00DC3F15"/>
    <w:rsid w:val="00DC5122"/>
    <w:rsid w:val="00DE4BBB"/>
    <w:rsid w:val="00E01C9D"/>
    <w:rsid w:val="00E04E61"/>
    <w:rsid w:val="00E1649A"/>
    <w:rsid w:val="00E644DE"/>
    <w:rsid w:val="00E715D0"/>
    <w:rsid w:val="00E77227"/>
    <w:rsid w:val="00E81EB0"/>
    <w:rsid w:val="00EB5197"/>
    <w:rsid w:val="00EC1424"/>
    <w:rsid w:val="00EF6149"/>
    <w:rsid w:val="00EF7B12"/>
    <w:rsid w:val="00F1042D"/>
    <w:rsid w:val="00F74355"/>
    <w:rsid w:val="00F95EE1"/>
    <w:rsid w:val="00FB0D7B"/>
    <w:rsid w:val="00FB2306"/>
    <w:rsid w:val="00FE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E01C9D"/>
    <w:pPr>
      <w:tabs>
        <w:tab w:val="center" w:pos="4536"/>
        <w:tab w:val="right" w:pos="9072"/>
      </w:tabs>
      <w:spacing w:after="0" w:line="240" w:lineRule="auto"/>
    </w:pPr>
  </w:style>
  <w:style w:type="character" w:customStyle="1" w:styleId="En-tteCar">
    <w:name w:val="En-tête Car"/>
    <w:basedOn w:val="Policepardfaut"/>
    <w:link w:val="En-tte"/>
    <w:uiPriority w:val="99"/>
    <w:rsid w:val="00E01C9D"/>
  </w:style>
  <w:style w:type="paragraph" w:styleId="Pieddepage">
    <w:name w:val="footer"/>
    <w:basedOn w:val="Normal"/>
    <w:link w:val="PieddepageCar"/>
    <w:uiPriority w:val="99"/>
    <w:unhideWhenUsed/>
    <w:rsid w:val="00E01C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C9D"/>
  </w:style>
  <w:style w:type="table" w:styleId="Grilledutableau">
    <w:name w:val="Table Grid"/>
    <w:basedOn w:val="TableauNormal"/>
    <w:uiPriority w:val="39"/>
    <w:rsid w:val="0080680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06809"/>
    <w:rPr>
      <w:color w:val="0000FF"/>
      <w:u w:val="single"/>
    </w:rPr>
  </w:style>
  <w:style w:type="character" w:styleId="Mentionnonrsolue">
    <w:name w:val="Unresolved Mention"/>
    <w:basedOn w:val="Policepardfaut"/>
    <w:uiPriority w:val="99"/>
    <w:semiHidden/>
    <w:unhideWhenUsed/>
    <w:rsid w:val="00A560FB"/>
    <w:rPr>
      <w:color w:val="605E5C"/>
      <w:shd w:val="clear" w:color="auto" w:fill="E1DFDD"/>
    </w:rPr>
  </w:style>
  <w:style w:type="character" w:styleId="Lienhypertextesuivivisit">
    <w:name w:val="FollowedHyperlink"/>
    <w:basedOn w:val="Policepardfaut"/>
    <w:uiPriority w:val="99"/>
    <w:semiHidden/>
    <w:unhideWhenUsed/>
    <w:rsid w:val="00D14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92055" TargetMode="External"/><Relationship Id="rId18" Type="http://schemas.openxmlformats.org/officeDocument/2006/relationships/image" Target="media/image5.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oettinger.at/fr_fr/newsroom/pressebild/111588" TargetMode="External"/><Relationship Id="rId7" Type="http://schemas.openxmlformats.org/officeDocument/2006/relationships/webSettings" Target="webSettings.xml"/><Relationship Id="rId12" Type="http://schemas.openxmlformats.org/officeDocument/2006/relationships/hyperlink" Target="https://www.poettinger.at/fr_fr/newsroom/pressebild/102085" TargetMode="External"/><Relationship Id="rId17" Type="http://schemas.openxmlformats.org/officeDocument/2006/relationships/hyperlink" Target="https://www.poettinger.at/fr_fr/newsroom/pressebild/10104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fr_fr/newsroom/pressebild/103002" TargetMode="External"/><Relationship Id="rId20" Type="http://schemas.openxmlformats.org/officeDocument/2006/relationships/hyperlink" Target="https://www.poettinger.at/fr_fr/newsroom/pressebild/11233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poettinger.at/press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poettinger.at/fr_fr/newsroom/pressebild/120936"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958F-51F6-4329-ADB6-DAB4FF5A62BB}">
  <ds:schemaRefs>
    <ds:schemaRef ds:uri="http://schemas.microsoft.com/sharepoint/v3/contenttype/forms"/>
  </ds:schemaRefs>
</ds:datastoreItem>
</file>

<file path=customXml/itemProps2.xml><?xml version="1.0" encoding="utf-8"?>
<ds:datastoreItem xmlns:ds="http://schemas.openxmlformats.org/officeDocument/2006/customXml" ds:itemID="{E6B57123-C6A4-4B73-AAF2-C0734D3C498D}">
  <ds:schemaRefs>
    <ds:schemaRef ds:uri="http://schemas.openxmlformats.org/package/2006/metadata/core-properties"/>
    <ds:schemaRef ds:uri="http://purl.org/dc/terms/"/>
    <ds:schemaRef ds:uri="ffa3695f-fc9d-43a0-9b89-e443cfa54e9f"/>
    <ds:schemaRef ds:uri="http://schemas.microsoft.com/office/2006/documentManagement/types"/>
    <ds:schemaRef ds:uri="http://purl.org/dc/elements/1.1/"/>
    <ds:schemaRef ds:uri="http://schemas.microsoft.com/office/2006/metadata/properties"/>
    <ds:schemaRef ds:uri="http://schemas.microsoft.com/office/infopath/2007/PartnerControls"/>
    <ds:schemaRef ds:uri="0c9fabd4-836a-42ce-ab3b-240b75e507cf"/>
    <ds:schemaRef ds:uri="http://www.w3.org/XML/1998/namespace"/>
    <ds:schemaRef ds:uri="http://purl.org/dc/dcmitype/"/>
  </ds:schemaRefs>
</ds:datastoreItem>
</file>

<file path=customXml/itemProps3.xml><?xml version="1.0" encoding="utf-8"?>
<ds:datastoreItem xmlns:ds="http://schemas.openxmlformats.org/officeDocument/2006/customXml" ds:itemID="{043F2AE0-8C68-419F-9CB0-25F68C33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4654</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TEGOSEM</vt:lpstr>
      <vt:lpstr/>
    </vt:vector>
  </TitlesOfParts>
  <Company>PÖTTINGER Landtechnik GmbH</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TEGOSEM</dc:title>
  <dc:subject/>
  <dc:creator>Johanna Ecklmayr</dc:creator>
  <cp:keywords/>
  <dc:description/>
  <cp:lastModifiedBy>Dutter Dorothee</cp:lastModifiedBy>
  <cp:revision>30</cp:revision>
  <cp:lastPrinted>2023-07-21T07:14:00Z</cp:lastPrinted>
  <dcterms:created xsi:type="dcterms:W3CDTF">2024-01-25T15:07:00Z</dcterms:created>
  <dcterms:modified xsi:type="dcterms:W3CDTF">2024-02-08T14:35:00Z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